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9/18/2025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Organized API requests and possible prompts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Attempt said prompts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Section dividers added using cards with subtle shadows.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Chose</w:t>
      </w:r>
      <w:r w:rsidDel="00000000" w:rsidR="00000000" w:rsidRPr="00000000">
        <w:rPr>
          <w:rtl w:val="0"/>
        </w:rPr>
        <w:t xml:space="preserve"> a two-tone color palette for section headings.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Integrate SVG icons for each section (e.g., graduation cap for education, briefcase for experience).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responsive adjustments for mobile view.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Tested the scoring method on 2 more resumes to check consistency.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Drafted a first version of the match score formula (combining skills, keywords, and experience weights).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Documented observations on which sections most influence the score.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Refine the formula by adjusting weights for different categories.</w:t>
        <w:br w:type="textWrapping"/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preparing a sample output format (e.g., “Match Score: 72%”) that can be displayed in the UI.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Making sure the formula isn’t too complex while still producing fair results.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Compared different api response styles such as json, hal, and graphQL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experimenting with sample response payloads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Finalize the draft of the response schema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Gathered feedback from the team on readability and ease of parsing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Ensuring format is both user friendly and efficient for backend processing</w:t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 today.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testing different approaches to convert the user’s file into readable text or text file.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development of the project and completion of user story.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so far.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